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2A36">
      <w:pPr>
        <w:spacing w:line="424"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○阿賀野市最低制限価格制度実施要綱</w:t>
      </w:r>
    </w:p>
    <w:p w:rsidR="00000000" w:rsidRDefault="003A2A36">
      <w:pPr>
        <w:spacing w:line="424"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平成２８年３月２４日</w:t>
      </w:r>
    </w:p>
    <w:p w:rsidR="00000000" w:rsidRDefault="003A2A36">
      <w:pPr>
        <w:spacing w:line="424"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告示第５５号</w:t>
      </w:r>
    </w:p>
    <w:p w:rsidR="00000000" w:rsidRDefault="003A2A36">
      <w:pPr>
        <w:spacing w:line="424"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平成２８年６月２１日告示第１４８号</w:t>
      </w:r>
    </w:p>
    <w:p w:rsidR="00000000" w:rsidRDefault="003A2A36">
      <w:pPr>
        <w:spacing w:line="424"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平成２９年５月３０日告示第１００号</w:t>
      </w:r>
    </w:p>
    <w:p w:rsidR="00000000" w:rsidRDefault="003A2A36">
      <w:pPr>
        <w:spacing w:line="424"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令和元年９月１９日告示第４９号</w:t>
      </w:r>
    </w:p>
    <w:p w:rsidR="00000000" w:rsidRDefault="003A2A36">
      <w:pPr>
        <w:spacing w:line="424"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阿賀野市最低制限価格制度実施要綱（平成２２年告示第３７号）の全部を改正する。</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この告示は、市が発注する建設工</w:t>
      </w:r>
      <w:r>
        <w:rPr>
          <w:rFonts w:ascii="ＭＳ 明朝" w:eastAsia="ＭＳ 明朝" w:hAnsi="ＭＳ 明朝" w:cs="ＭＳ 明朝" w:hint="eastAsia"/>
          <w:color w:val="000000"/>
        </w:rPr>
        <w:t>事並びに測量業務、建築関係の建設コンサルタント業務、土木関係の建設コンサルタント業務、地質調査業務及び補償関係コンサルタント業務（以下「建設コンサルタント等の業務」という。）の請負契約に係る一般競争入札及び指名競争入札（以下「競争入札」という。）における最低制限価格制度の実施に関し、必要な事項を定めるものとする。</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この告示において「最低制限価格制度」とは、地方自治法施行令（昭和２２年政令第１６号。以下「施行令」という。）第１６７条の１０第２項（同令第１６７条の１３の規定により準用する場合を</w:t>
      </w:r>
      <w:r>
        <w:rPr>
          <w:rFonts w:ascii="ＭＳ 明朝" w:eastAsia="ＭＳ 明朝" w:hAnsi="ＭＳ 明朝" w:cs="ＭＳ 明朝" w:hint="eastAsia"/>
          <w:color w:val="000000"/>
        </w:rPr>
        <w:t>含む。）の規定に基づき、競争入札の予定価格の制限の範囲内で落札価格の最低限度の基準を設定し、落札者を決定する制度をいう。</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（対象となる競争入札）</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最低制限価格制度の実施対象は、市が発注する建設工事の請負契約に係る競争入札で予定価格が１，０００万円以上のもの及び市が発注する建設コンサルタント等の業務の請負契約に係る競争入札で予定価格が１００万円以上のものとする。ただし、市長が別に定めるものについては、この限りでない。</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（入札書比較最低制限価格の算定）</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最低制限価格を算出するために、入札書比較最</w:t>
      </w:r>
      <w:r>
        <w:rPr>
          <w:rFonts w:ascii="ＭＳ 明朝" w:eastAsia="ＭＳ 明朝" w:hAnsi="ＭＳ 明朝" w:cs="ＭＳ 明朝" w:hint="eastAsia"/>
          <w:color w:val="000000"/>
        </w:rPr>
        <w:t>低制限価格（以下「比較最低制限価格」という。）を算出する。</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建設工事に係る競争入札の比較最低制限価格は、次のいずれかに該当する額とする。</w:t>
      </w:r>
    </w:p>
    <w:p w:rsidR="00000000" w:rsidRDefault="003A2A36">
      <w:pPr>
        <w:spacing w:line="424"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建設工事に係る次に掲げる額の合計額。ただし、その額が予定価格に１１０分の１００を乗じて得た額（以下「比較予定価格」という。）に１００分の９０を乗じて得た額を超える場合は比較予定価格に１００分の９０を乗じて得た額とし、比較予定価格に１００分の７０を乗じて得た額に満たない場合は比較予定価格に１００分の７０を乗じて得た額とする。</w:t>
      </w:r>
    </w:p>
    <w:p w:rsidR="00000000" w:rsidRDefault="003A2A36">
      <w:pPr>
        <w:spacing w:line="424"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直接工事費の額に１００分の９</w:t>
      </w:r>
      <w:r>
        <w:rPr>
          <w:rFonts w:ascii="ＭＳ 明朝" w:eastAsia="ＭＳ 明朝" w:hAnsi="ＭＳ 明朝" w:cs="ＭＳ 明朝" w:hint="eastAsia"/>
          <w:color w:val="000000"/>
        </w:rPr>
        <w:t>７を乗じて得た額</w:t>
      </w:r>
    </w:p>
    <w:p w:rsidR="00000000" w:rsidRDefault="003A2A36">
      <w:pPr>
        <w:spacing w:line="424"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イ　共通仮設費の額に１００分の９０を乗じて得た額</w:t>
      </w:r>
    </w:p>
    <w:p w:rsidR="00000000" w:rsidRDefault="003A2A36">
      <w:pPr>
        <w:spacing w:line="424"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現場管理費の額に１００分の９０を乗じて得た額</w:t>
      </w:r>
    </w:p>
    <w:p w:rsidR="00000000" w:rsidRDefault="003A2A36">
      <w:pPr>
        <w:spacing w:line="424"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一般管理費等の額に１００分の５５を乗じて得た額</w:t>
      </w:r>
    </w:p>
    <w:p w:rsidR="00000000" w:rsidRDefault="003A2A36">
      <w:pPr>
        <w:spacing w:line="424"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工事の性質上前号の規定により難いものについては、同号の規定にかかわらず、比較予定価格に１００分の７０を乗じて得た額から比較予定価格に１００分の９０を乗じて得た額の範囲内で市長が定める額</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建設コンサルタント等の業務に係る競争入札の比較最低制限価格は、次のいずれかに該当する額とする。</w:t>
      </w:r>
    </w:p>
    <w:p w:rsidR="00000000" w:rsidRDefault="003A2A36">
      <w:pPr>
        <w:spacing w:line="424"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当該建設コンサルタント等の業務に係る競争</w:t>
      </w:r>
      <w:r>
        <w:rPr>
          <w:rFonts w:ascii="ＭＳ 明朝" w:eastAsia="ＭＳ 明朝" w:hAnsi="ＭＳ 明朝" w:cs="ＭＳ 明朝" w:hint="eastAsia"/>
          <w:color w:val="000000"/>
        </w:rPr>
        <w:t>入札の最低制限価格は、別表の業種区分ごとに、同表①から④までに掲げる額の合計額。ただし、その額が比較予定価格に１００分の９０を乗じた額を超える場合は比較予定価格の１００分の９０とし、比較予定価格に１００分の７０を乗じた額に満たない場合は比較予定価格の１００分の７０とする。</w:t>
      </w:r>
    </w:p>
    <w:p w:rsidR="00000000" w:rsidRDefault="003A2A36">
      <w:pPr>
        <w:spacing w:line="424"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業務の性質上前号の規定により難いものについては、同号の規定にかかわらず、比較予定価格に１００分の７０を乗じて得た額から比較予定価格に１００分の９０を乗じて得た額の範囲内で市長が定める額</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第２項及び第３項の場合において、比較最低</w:t>
      </w:r>
      <w:r>
        <w:rPr>
          <w:rFonts w:ascii="ＭＳ 明朝" w:eastAsia="ＭＳ 明朝" w:hAnsi="ＭＳ 明朝" w:cs="ＭＳ 明朝" w:hint="eastAsia"/>
          <w:color w:val="000000"/>
        </w:rPr>
        <w:t>制限価格が１億円未満となった場合で１万円未満に端数があるときは、これを切り上げ、比較最低制限価格が１億円以上となった場合で１０万円未満に端数があるときは、これを切り上げるものとする。</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（最低制限価格の算定方法等）</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最低制限価格は、比較最低制限価格に１００分の１１０を乗じて得た額とする。</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（入札参加者への周知）</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最低制限価格を設定したときは、当該競争入札の公告又は通知書に次に掲げる事項を入札条件として記載し、入札参加者へ周知するものとする。</w:t>
      </w:r>
    </w:p>
    <w:p w:rsidR="00000000" w:rsidRDefault="003A2A36">
      <w:pPr>
        <w:spacing w:line="424"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最低制限価格制度を適用すること。</w:t>
      </w:r>
    </w:p>
    <w:p w:rsidR="00000000" w:rsidRDefault="003A2A36">
      <w:pPr>
        <w:spacing w:line="424"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最</w:t>
      </w:r>
      <w:r>
        <w:rPr>
          <w:rFonts w:ascii="ＭＳ 明朝" w:eastAsia="ＭＳ 明朝" w:hAnsi="ＭＳ 明朝" w:cs="ＭＳ 明朝" w:hint="eastAsia"/>
          <w:color w:val="000000"/>
        </w:rPr>
        <w:t>低制限価格を下回った入札をした者は、落札者とならないこと。</w:t>
      </w:r>
    </w:p>
    <w:p w:rsidR="00000000" w:rsidRDefault="003A2A36">
      <w:pPr>
        <w:spacing w:line="424"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最低制限価格を下回った入札をした者は、当該対象入札に係る落札者がいない場合における再度の入札に参加できないこと。</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（競争入札の執行）</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入札執行者は、入札の結果、最低制限価格を下回る価格で入札が行われた場合は、当該入札をした者を落札者としないものとし、当該入札の失格を告げるものとする。</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前項の場合において、予定価格の制限の範囲内で最低制限価格以上の価格をもって入札をした者がいるときは、入札執行者は、この者のうち最低の価格をもって入</w:t>
      </w:r>
      <w:r>
        <w:rPr>
          <w:rFonts w:ascii="ＭＳ 明朝" w:eastAsia="ＭＳ 明朝" w:hAnsi="ＭＳ 明朝" w:cs="ＭＳ 明朝" w:hint="eastAsia"/>
          <w:color w:val="000000"/>
        </w:rPr>
        <w:t>札をした者を落札者とする。</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第１項の場合において、予定価格の制限の範囲内で最低制限価格以上の価格をもって入札をした者がいないときは、入札執行者は、再度入札をすることができるものとする。この場合において、最低制限価格を下回った入札をした者は、再度入札に参加させないものとする。</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（最低制限価格の対象外）</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市長は、最低制限価格の設定が適当でないと認められる場合は、最低制限価格を設定しないことができる。</w:t>
      </w:r>
    </w:p>
    <w:p w:rsidR="00000000" w:rsidRDefault="003A2A36">
      <w:pPr>
        <w:spacing w:line="424"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この告示に定めるもののほか、最低制限価格制度の実施に関し必要な事項は、別に定める。</w:t>
      </w:r>
    </w:p>
    <w:p w:rsidR="00000000" w:rsidRDefault="003A2A36">
      <w:pPr>
        <w:spacing w:line="424"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3A2A36">
      <w:pPr>
        <w:spacing w:line="424"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この告示は、平成２８年４月１日から施行する。</w:t>
      </w:r>
    </w:p>
    <w:p w:rsidR="00000000" w:rsidRDefault="003A2A36">
      <w:pPr>
        <w:spacing w:line="424"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則（平成２８年告示第１４８号）</w:t>
      </w:r>
    </w:p>
    <w:p w:rsidR="00000000" w:rsidRDefault="003A2A36">
      <w:pPr>
        <w:spacing w:line="424"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この告示は、平成２８年８月１日から施行する。</w:t>
      </w:r>
    </w:p>
    <w:p w:rsidR="00000000" w:rsidRDefault="003A2A36">
      <w:pPr>
        <w:spacing w:line="424"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則（平成２９年告示第１００号）</w:t>
      </w:r>
    </w:p>
    <w:p w:rsidR="00000000" w:rsidRDefault="003A2A36">
      <w:pPr>
        <w:spacing w:line="424"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この告示は、平成２９年７月１日から施行する。</w:t>
      </w:r>
    </w:p>
    <w:p w:rsidR="00000000" w:rsidRDefault="003A2A36">
      <w:pPr>
        <w:spacing w:line="424"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則（令和元年告示第４９号）</w:t>
      </w:r>
    </w:p>
    <w:p w:rsidR="00000000" w:rsidRDefault="003A2A36">
      <w:pPr>
        <w:spacing w:line="424"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この告示は、令和元年１０月１日から施行する。</w:t>
      </w:r>
    </w:p>
    <w:p w:rsidR="00000000" w:rsidRDefault="003A2A36">
      <w:pPr>
        <w:spacing w:line="424"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別表（第４条関係）</w:t>
      </w:r>
    </w:p>
    <w:tbl>
      <w:tblPr>
        <w:tblW w:w="0" w:type="auto"/>
        <w:tblInd w:w="5" w:type="dxa"/>
        <w:tblLayout w:type="fixed"/>
        <w:tblCellMar>
          <w:left w:w="0" w:type="dxa"/>
          <w:right w:w="0" w:type="dxa"/>
        </w:tblCellMar>
        <w:tblLook w:val="0000" w:firstRow="0" w:lastRow="0" w:firstColumn="0" w:lastColumn="0" w:noHBand="0" w:noVBand="0"/>
      </w:tblPr>
      <w:tblGrid>
        <w:gridCol w:w="1859"/>
        <w:gridCol w:w="1859"/>
        <w:gridCol w:w="1859"/>
        <w:gridCol w:w="1859"/>
        <w:gridCol w:w="1859"/>
      </w:tblGrid>
      <w:tr w:rsidR="00000000">
        <w:tblPrEx>
          <w:tblCellMar>
            <w:top w:w="0" w:type="dxa"/>
            <w:left w:w="0" w:type="dxa"/>
            <w:bottom w:w="0" w:type="dxa"/>
            <w:right w:w="0" w:type="dxa"/>
          </w:tblCellMar>
        </w:tblPrEx>
        <w:tc>
          <w:tcPr>
            <w:tcW w:w="1859" w:type="dxa"/>
            <w:tcBorders>
              <w:top w:val="single" w:sz="4" w:space="0" w:color="000000"/>
              <w:left w:val="single" w:sz="4" w:space="0" w:color="000000"/>
              <w:bottom w:val="single" w:sz="4" w:space="0" w:color="000000"/>
              <w:right w:val="single" w:sz="4" w:space="0" w:color="000000"/>
            </w:tcBorders>
          </w:tcPr>
          <w:p w:rsidR="00000000" w:rsidRDefault="003A2A36">
            <w:pPr>
              <w:spacing w:line="424"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業種区分</w:t>
            </w:r>
          </w:p>
        </w:tc>
        <w:tc>
          <w:tcPr>
            <w:tcW w:w="1859" w:type="dxa"/>
            <w:tcBorders>
              <w:top w:val="single" w:sz="4" w:space="0" w:color="000000"/>
              <w:left w:val="nil"/>
              <w:bottom w:val="single" w:sz="4" w:space="0" w:color="000000"/>
              <w:right w:val="single" w:sz="4" w:space="0" w:color="000000"/>
            </w:tcBorders>
          </w:tcPr>
          <w:p w:rsidR="00000000" w:rsidRDefault="003A2A36">
            <w:pPr>
              <w:spacing w:line="424"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①</w:t>
            </w:r>
          </w:p>
        </w:tc>
        <w:tc>
          <w:tcPr>
            <w:tcW w:w="1859" w:type="dxa"/>
            <w:tcBorders>
              <w:top w:val="single" w:sz="4" w:space="0" w:color="000000"/>
              <w:left w:val="nil"/>
              <w:bottom w:val="single" w:sz="4" w:space="0" w:color="000000"/>
              <w:right w:val="single" w:sz="4" w:space="0" w:color="000000"/>
            </w:tcBorders>
          </w:tcPr>
          <w:p w:rsidR="00000000" w:rsidRDefault="003A2A36">
            <w:pPr>
              <w:spacing w:line="424"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②</w:t>
            </w:r>
          </w:p>
        </w:tc>
        <w:tc>
          <w:tcPr>
            <w:tcW w:w="1859" w:type="dxa"/>
            <w:tcBorders>
              <w:top w:val="single" w:sz="4" w:space="0" w:color="000000"/>
              <w:left w:val="nil"/>
              <w:bottom w:val="single" w:sz="4" w:space="0" w:color="000000"/>
              <w:right w:val="single" w:sz="4" w:space="0" w:color="000000"/>
            </w:tcBorders>
          </w:tcPr>
          <w:p w:rsidR="00000000" w:rsidRDefault="003A2A36">
            <w:pPr>
              <w:spacing w:line="424"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③</w:t>
            </w:r>
          </w:p>
        </w:tc>
        <w:tc>
          <w:tcPr>
            <w:tcW w:w="1859" w:type="dxa"/>
            <w:tcBorders>
              <w:top w:val="single" w:sz="4" w:space="0" w:color="000000"/>
              <w:left w:val="nil"/>
              <w:bottom w:val="single" w:sz="4" w:space="0" w:color="000000"/>
              <w:right w:val="single" w:sz="4" w:space="0" w:color="000000"/>
            </w:tcBorders>
          </w:tcPr>
          <w:p w:rsidR="00000000" w:rsidRDefault="003A2A36">
            <w:pPr>
              <w:spacing w:line="424"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④</w:t>
            </w:r>
          </w:p>
        </w:tc>
      </w:tr>
      <w:tr w:rsidR="00000000">
        <w:tblPrEx>
          <w:tblCellMar>
            <w:top w:w="0" w:type="dxa"/>
            <w:left w:w="0" w:type="dxa"/>
            <w:bottom w:w="0" w:type="dxa"/>
            <w:right w:w="0" w:type="dxa"/>
          </w:tblCellMar>
        </w:tblPrEx>
        <w:tc>
          <w:tcPr>
            <w:tcW w:w="1859" w:type="dxa"/>
            <w:tcBorders>
              <w:top w:val="nil"/>
              <w:left w:val="single" w:sz="4" w:space="0" w:color="000000"/>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測量業務</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直接測量費の額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測量調査費の額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諸経費の額に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48</w:t>
            </w:r>
            <w:r>
              <w:rPr>
                <w:rFonts w:ascii="ＭＳ 明朝" w:eastAsia="ＭＳ 明朝" w:hAnsi="ＭＳ 明朝" w:cs="ＭＳ 明朝" w:hint="eastAsia"/>
                <w:color w:val="000000"/>
              </w:rPr>
              <w:t>を乗じて得た額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00000">
        <w:tblPrEx>
          <w:tblCellMar>
            <w:top w:w="0" w:type="dxa"/>
            <w:left w:w="0" w:type="dxa"/>
            <w:bottom w:w="0" w:type="dxa"/>
            <w:right w:w="0" w:type="dxa"/>
          </w:tblCellMar>
        </w:tblPrEx>
        <w:tc>
          <w:tcPr>
            <w:tcW w:w="1859" w:type="dxa"/>
            <w:tcBorders>
              <w:top w:val="nil"/>
              <w:left w:val="single" w:sz="4" w:space="0" w:color="000000"/>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建築関係の建設コンサルタント業務</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直接人件費の額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特別経費の額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技術料等経費</w:t>
            </w:r>
            <w:r>
              <w:rPr>
                <w:rFonts w:ascii="ＭＳ 明朝" w:eastAsia="ＭＳ 明朝" w:hAnsi="ＭＳ 明朝" w:cs="ＭＳ 明朝" w:hint="eastAsia"/>
                <w:color w:val="000000"/>
              </w:rPr>
              <w:t>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60</w:t>
            </w:r>
            <w:r>
              <w:rPr>
                <w:rFonts w:ascii="ＭＳ 明朝" w:eastAsia="ＭＳ 明朝" w:hAnsi="ＭＳ 明朝" w:cs="ＭＳ 明朝" w:hint="eastAsia"/>
                <w:color w:val="000000"/>
              </w:rPr>
              <w:t>を乗じて得た額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諸経費の額に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60</w:t>
            </w:r>
            <w:r>
              <w:rPr>
                <w:rFonts w:ascii="ＭＳ 明朝" w:eastAsia="ＭＳ 明朝" w:hAnsi="ＭＳ 明朝" w:cs="ＭＳ 明朝" w:hint="eastAsia"/>
                <w:color w:val="000000"/>
              </w:rPr>
              <w:t>を乗じて得た額</w:t>
            </w:r>
          </w:p>
        </w:tc>
      </w:tr>
      <w:tr w:rsidR="00000000">
        <w:tblPrEx>
          <w:tblCellMar>
            <w:top w:w="0" w:type="dxa"/>
            <w:left w:w="0" w:type="dxa"/>
            <w:bottom w:w="0" w:type="dxa"/>
            <w:right w:w="0" w:type="dxa"/>
          </w:tblCellMar>
        </w:tblPrEx>
        <w:tc>
          <w:tcPr>
            <w:tcW w:w="1859" w:type="dxa"/>
            <w:tcBorders>
              <w:top w:val="nil"/>
              <w:left w:val="single" w:sz="4" w:space="0" w:color="000000"/>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土木関係の建設コンサルタント業務</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直接人件費の額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直接経費の額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その他原価の額に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90</w:t>
            </w:r>
            <w:r>
              <w:rPr>
                <w:rFonts w:ascii="ＭＳ 明朝" w:eastAsia="ＭＳ 明朝" w:hAnsi="ＭＳ 明朝" w:cs="ＭＳ 明朝" w:hint="eastAsia"/>
                <w:color w:val="000000"/>
              </w:rPr>
              <w:t>を乗じて得た額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一般管理費等の額に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48</w:t>
            </w:r>
            <w:r>
              <w:rPr>
                <w:rFonts w:ascii="ＭＳ 明朝" w:eastAsia="ＭＳ 明朝" w:hAnsi="ＭＳ 明朝" w:cs="ＭＳ 明朝" w:hint="eastAsia"/>
                <w:color w:val="000000"/>
              </w:rPr>
              <w:t>を乗じて得た額</w:t>
            </w:r>
          </w:p>
        </w:tc>
      </w:tr>
      <w:tr w:rsidR="00000000">
        <w:tblPrEx>
          <w:tblCellMar>
            <w:top w:w="0" w:type="dxa"/>
            <w:left w:w="0" w:type="dxa"/>
            <w:bottom w:w="0" w:type="dxa"/>
            <w:right w:w="0" w:type="dxa"/>
          </w:tblCellMar>
        </w:tblPrEx>
        <w:tc>
          <w:tcPr>
            <w:tcW w:w="1859" w:type="dxa"/>
            <w:tcBorders>
              <w:top w:val="nil"/>
              <w:left w:val="single" w:sz="4" w:space="0" w:color="000000"/>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地質調査業務</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直接調査費の額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間接調査費の額に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90</w:t>
            </w:r>
            <w:r>
              <w:rPr>
                <w:rFonts w:ascii="ＭＳ 明朝" w:eastAsia="ＭＳ 明朝" w:hAnsi="ＭＳ 明朝" w:cs="ＭＳ 明朝" w:hint="eastAsia"/>
                <w:color w:val="000000"/>
              </w:rPr>
              <w:t>を乗じて得た額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解析等調査業務費の額に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80</w:t>
            </w:r>
            <w:r>
              <w:rPr>
                <w:rFonts w:ascii="ＭＳ 明朝" w:eastAsia="ＭＳ 明朝" w:hAnsi="ＭＳ 明朝" w:cs="ＭＳ 明朝" w:hint="eastAsia"/>
                <w:color w:val="000000"/>
              </w:rPr>
              <w:t>を乗じて得た額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諸経費の額に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45</w:t>
            </w:r>
            <w:r>
              <w:rPr>
                <w:rFonts w:ascii="ＭＳ 明朝" w:eastAsia="ＭＳ 明朝" w:hAnsi="ＭＳ 明朝" w:cs="ＭＳ 明朝" w:hint="eastAsia"/>
                <w:color w:val="000000"/>
              </w:rPr>
              <w:t>を乗じて得た額</w:t>
            </w:r>
          </w:p>
        </w:tc>
      </w:tr>
      <w:tr w:rsidR="00000000">
        <w:tblPrEx>
          <w:tblCellMar>
            <w:top w:w="0" w:type="dxa"/>
            <w:left w:w="0" w:type="dxa"/>
            <w:bottom w:w="0" w:type="dxa"/>
            <w:right w:w="0" w:type="dxa"/>
          </w:tblCellMar>
        </w:tblPrEx>
        <w:tc>
          <w:tcPr>
            <w:tcW w:w="1859" w:type="dxa"/>
            <w:tcBorders>
              <w:top w:val="nil"/>
              <w:left w:val="single" w:sz="4" w:space="0" w:color="000000"/>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補償関係コンサルタント業務</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直接人件費の額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直接経費の額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その他原価の額に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90</w:t>
            </w:r>
            <w:r>
              <w:rPr>
                <w:rFonts w:ascii="ＭＳ 明朝" w:eastAsia="ＭＳ 明朝" w:hAnsi="ＭＳ 明朝" w:cs="ＭＳ 明朝" w:hint="eastAsia"/>
                <w:color w:val="000000"/>
              </w:rPr>
              <w:t>を乗じて得た</w:t>
            </w:r>
            <w:r>
              <w:rPr>
                <w:rFonts w:ascii="ＭＳ 明朝" w:eastAsia="ＭＳ 明朝" w:hAnsi="ＭＳ 明朝" w:cs="ＭＳ 明朝" w:hint="eastAsia"/>
                <w:color w:val="000000"/>
              </w:rPr>
              <w:t>額</w:t>
            </w:r>
          </w:p>
        </w:tc>
        <w:tc>
          <w:tcPr>
            <w:tcW w:w="1859" w:type="dxa"/>
            <w:tcBorders>
              <w:top w:val="nil"/>
              <w:left w:val="nil"/>
              <w:bottom w:val="single" w:sz="4" w:space="0" w:color="000000"/>
              <w:right w:val="single" w:sz="4" w:space="0" w:color="000000"/>
            </w:tcBorders>
          </w:tcPr>
          <w:p w:rsidR="00000000" w:rsidRDefault="003A2A36">
            <w:pPr>
              <w:spacing w:line="424" w:lineRule="atLeast"/>
              <w:rPr>
                <w:rFonts w:ascii="ＭＳ 明朝" w:eastAsia="ＭＳ 明朝" w:hAnsi="ＭＳ 明朝" w:cs="ＭＳ 明朝"/>
                <w:color w:val="000000"/>
              </w:rPr>
            </w:pPr>
            <w:r>
              <w:rPr>
                <w:rFonts w:ascii="ＭＳ 明朝" w:eastAsia="ＭＳ 明朝" w:hAnsi="ＭＳ 明朝" w:cs="ＭＳ 明朝" w:hint="eastAsia"/>
                <w:color w:val="000000"/>
              </w:rPr>
              <w:t>一般管理費等の額に</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45</w:t>
            </w:r>
            <w:r>
              <w:rPr>
                <w:rFonts w:ascii="ＭＳ 明朝" w:eastAsia="ＭＳ 明朝" w:hAnsi="ＭＳ 明朝" w:cs="ＭＳ 明朝" w:hint="eastAsia"/>
                <w:color w:val="000000"/>
              </w:rPr>
              <w:t>を乗じて得た額</w:t>
            </w:r>
          </w:p>
        </w:tc>
      </w:tr>
    </w:tbl>
    <w:p w:rsidR="003A2A36" w:rsidRDefault="003A2A36">
      <w:pPr>
        <w:spacing w:line="424" w:lineRule="atLeast"/>
        <w:rPr>
          <w:rFonts w:ascii="ＭＳ 明朝" w:eastAsia="ＭＳ 明朝" w:hAnsi="ＭＳ 明朝" w:cs="ＭＳ 明朝"/>
          <w:color w:val="000000"/>
        </w:rPr>
      </w:pPr>
      <w:bookmarkStart w:id="1" w:name="last"/>
      <w:bookmarkEnd w:id="1"/>
    </w:p>
    <w:sectPr w:rsidR="003A2A36">
      <w:footerReference w:type="default" r:id="rId6"/>
      <w:pgSz w:w="11905" w:h="16837"/>
      <w:pgMar w:top="1247" w:right="1303" w:bottom="1133" w:left="1303" w:header="720" w:footer="720" w:gutter="0"/>
      <w:cols w:space="720"/>
      <w:noEndnote/>
      <w:docGrid w:type="linesAndChars" w:linePitch="42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36" w:rsidRDefault="003A2A36">
      <w:r>
        <w:separator/>
      </w:r>
    </w:p>
  </w:endnote>
  <w:endnote w:type="continuationSeparator" w:id="0">
    <w:p w:rsidR="003A2A36" w:rsidRDefault="003A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A2A36">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DC10AF">
      <w:rPr>
        <w:rFonts w:ascii="Century" w:eastAsia="ＭＳ 明朝" w:hAnsi="ＭＳ 明朝" w:cs="ＭＳ 明朝"/>
        <w:noProof/>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C10AF">
      <w:rPr>
        <w:rFonts w:ascii="Century" w:eastAsia="ＭＳ 明朝" w:hAnsi="ＭＳ 明朝" w:cs="ＭＳ 明朝"/>
        <w:noProof/>
        <w:color w:val="000000"/>
        <w:sz w:val="21"/>
        <w:szCs w:val="21"/>
      </w:rPr>
      <w:t>4</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36" w:rsidRDefault="003A2A36">
      <w:r>
        <w:separator/>
      </w:r>
    </w:p>
  </w:footnote>
  <w:footnote w:type="continuationSeparator" w:id="0">
    <w:p w:rsidR="003A2A36" w:rsidRDefault="003A2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7"/>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AF"/>
    <w:rsid w:val="003A2A36"/>
    <w:rsid w:val="00DC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BE941F2-DCC8-4B30-AFBD-3C33FB25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AF"/>
    <w:pPr>
      <w:tabs>
        <w:tab w:val="center" w:pos="4252"/>
        <w:tab w:val="right" w:pos="8504"/>
      </w:tabs>
      <w:snapToGrid w:val="0"/>
    </w:pPr>
  </w:style>
  <w:style w:type="character" w:customStyle="1" w:styleId="a4">
    <w:name w:val="ヘッダー (文字)"/>
    <w:basedOn w:val="a0"/>
    <w:link w:val="a3"/>
    <w:uiPriority w:val="99"/>
    <w:rsid w:val="00DC10AF"/>
    <w:rPr>
      <w:rFonts w:ascii="Arial" w:hAnsi="Arial" w:cs="Arial"/>
      <w:kern w:val="0"/>
      <w:sz w:val="24"/>
      <w:szCs w:val="24"/>
    </w:rPr>
  </w:style>
  <w:style w:type="paragraph" w:styleId="a5">
    <w:name w:val="footer"/>
    <w:basedOn w:val="a"/>
    <w:link w:val="a6"/>
    <w:uiPriority w:val="99"/>
    <w:unhideWhenUsed/>
    <w:rsid w:val="00DC10AF"/>
    <w:pPr>
      <w:tabs>
        <w:tab w:val="center" w:pos="4252"/>
        <w:tab w:val="right" w:pos="8504"/>
      </w:tabs>
      <w:snapToGrid w:val="0"/>
    </w:pPr>
  </w:style>
  <w:style w:type="character" w:customStyle="1" w:styleId="a6">
    <w:name w:val="フッター (文字)"/>
    <w:basedOn w:val="a0"/>
    <w:link w:val="a5"/>
    <w:uiPriority w:val="99"/>
    <w:rsid w:val="00DC10A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　kanzai</dc:creator>
  <cp:keywords/>
  <dc:description/>
  <cp:lastModifiedBy>mail　kanzai</cp:lastModifiedBy>
  <cp:revision>2</cp:revision>
  <dcterms:created xsi:type="dcterms:W3CDTF">2023-08-17T04:50:00Z</dcterms:created>
  <dcterms:modified xsi:type="dcterms:W3CDTF">2023-08-17T04:50:00Z</dcterms:modified>
</cp:coreProperties>
</file>